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6C3" w:rsidRPr="00EF20BA" w:rsidRDefault="0072602C">
      <w:pPr>
        <w:pStyle w:val="Standard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EF20BA">
        <w:rPr>
          <w:rFonts w:asciiTheme="minorHAnsi" w:hAnsiTheme="minorHAnsi" w:cstheme="minorHAnsi"/>
          <w:b/>
          <w:sz w:val="24"/>
          <w:szCs w:val="24"/>
          <w:lang w:eastAsia="ar-SA"/>
        </w:rPr>
        <w:t>MARINHA DO BRASIL</w:t>
      </w:r>
    </w:p>
    <w:p w:rsidR="008026C3" w:rsidRPr="00EF20BA" w:rsidRDefault="00134497">
      <w:pPr>
        <w:pStyle w:val="Standard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EF20BA">
        <w:rPr>
          <w:rFonts w:asciiTheme="minorHAnsi" w:hAnsiTheme="minorHAnsi" w:cstheme="minorHAnsi"/>
          <w:b/>
          <w:sz w:val="24"/>
          <w:szCs w:val="24"/>
          <w:lang w:eastAsia="ar-SA"/>
        </w:rPr>
        <w:t>COMANDO DO GRUPAMENTO DE PATRULHA NAVAL DO SUDESTE</w:t>
      </w:r>
    </w:p>
    <w:p w:rsidR="008026C3" w:rsidRPr="00EF20BA" w:rsidRDefault="0072602C">
      <w:pPr>
        <w:pStyle w:val="Standard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ar-SA"/>
        </w:rPr>
      </w:pPr>
      <w:r w:rsidRPr="00EF20BA">
        <w:rPr>
          <w:rFonts w:asciiTheme="minorHAnsi" w:hAnsiTheme="minorHAnsi" w:cstheme="minorHAnsi"/>
          <w:b/>
          <w:bCs/>
          <w:color w:val="000000"/>
          <w:sz w:val="24"/>
          <w:szCs w:val="24"/>
          <w:lang w:eastAsia="ar-SA"/>
        </w:rPr>
        <w:t>ESTUDO TÉCNICO PRELIMINAR</w:t>
      </w:r>
    </w:p>
    <w:p w:rsidR="008026C3" w:rsidRPr="00EF20BA" w:rsidRDefault="00134497">
      <w:pPr>
        <w:pStyle w:val="Standard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  <w:r w:rsidRPr="00EF20BA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MAPA DE RISCOS</w:t>
      </w:r>
    </w:p>
    <w:p w:rsidR="00C86DD5" w:rsidRPr="00EF20BA" w:rsidRDefault="00C86DD5">
      <w:pPr>
        <w:pStyle w:val="Standard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tbl>
      <w:tblPr>
        <w:tblW w:w="9342" w:type="dxa"/>
        <w:tblInd w:w="66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000"/>
      </w:tblPr>
      <w:tblGrid>
        <w:gridCol w:w="9342"/>
      </w:tblGrid>
      <w:tr w:rsidR="008026C3" w:rsidRPr="00EF20BA" w:rsidTr="00EF20BA">
        <w:tc>
          <w:tcPr>
            <w:tcW w:w="9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FASE DE ANÁLISE</w:t>
            </w:r>
          </w:p>
        </w:tc>
      </w:tr>
      <w:tr w:rsidR="008026C3" w:rsidRPr="00EF20BA" w:rsidTr="00EF20BA">
        <w:tc>
          <w:tcPr>
            <w:tcW w:w="934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83CE0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</w:t>
            </w:r>
            <w:proofErr w:type="gramEnd"/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X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) Planejamento da Contratação e Seleção do Fornecedor</w:t>
            </w:r>
          </w:p>
        </w:tc>
      </w:tr>
      <w:tr w:rsidR="008026C3" w:rsidRPr="00EF20BA" w:rsidTr="00EF20BA">
        <w:tc>
          <w:tcPr>
            <w:tcW w:w="934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Gestão do Contrato</w:t>
            </w:r>
          </w:p>
        </w:tc>
      </w:tr>
    </w:tbl>
    <w:p w:rsidR="008026C3" w:rsidRPr="00EF20BA" w:rsidRDefault="008026C3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372" w:type="dxa"/>
        <w:tblInd w:w="36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000"/>
      </w:tblPr>
      <w:tblGrid>
        <w:gridCol w:w="569"/>
        <w:gridCol w:w="1875"/>
        <w:gridCol w:w="3796"/>
        <w:gridCol w:w="3132"/>
      </w:tblGrid>
      <w:tr w:rsidR="008026C3" w:rsidRPr="00EF20BA" w:rsidTr="00EF20BA">
        <w:tc>
          <w:tcPr>
            <w:tcW w:w="9372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RISCO 01</w:t>
            </w:r>
          </w:p>
        </w:tc>
      </w:tr>
      <w:tr w:rsidR="008026C3" w:rsidRPr="00EF20BA" w:rsidTr="00EF20BA">
        <w:tc>
          <w:tcPr>
            <w:tcW w:w="244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Probabilidade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83CE0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>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Baixa      ( 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) Média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Alta</w:t>
            </w:r>
          </w:p>
        </w:tc>
      </w:tr>
      <w:tr w:rsidR="008026C3" w:rsidRPr="00EF20BA" w:rsidTr="00EF20BA">
        <w:tc>
          <w:tcPr>
            <w:tcW w:w="244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Impacto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83CE0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Baixa 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>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Média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Alta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8803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Dano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803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Empresa não entregar ou atrasar a entrega dos produtos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1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Preventiva</w:t>
            </w:r>
          </w:p>
        </w:tc>
        <w:tc>
          <w:tcPr>
            <w:tcW w:w="31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1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Acompanhamento da evolução dos pedidos.</w:t>
            </w:r>
          </w:p>
        </w:tc>
        <w:tc>
          <w:tcPr>
            <w:tcW w:w="31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Fiscalização do Contrato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1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de Contingência</w:t>
            </w:r>
          </w:p>
        </w:tc>
        <w:tc>
          <w:tcPr>
            <w:tcW w:w="31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1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Aplicação de Notificações e Sanções Administrativas previstas em Lei e possibilidade de contratação de nova empresa para execução dos serviços por completo.</w:t>
            </w:r>
          </w:p>
        </w:tc>
        <w:tc>
          <w:tcPr>
            <w:tcW w:w="31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Fiscalização do Contrato e O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denador de Despesas</w:t>
            </w:r>
          </w:p>
        </w:tc>
      </w:tr>
    </w:tbl>
    <w:p w:rsidR="008026C3" w:rsidRPr="00EF20BA" w:rsidRDefault="008026C3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p w:rsidR="00C86DD5" w:rsidRPr="00EF20BA" w:rsidRDefault="00C86DD5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p w:rsidR="00C86DD5" w:rsidRDefault="00C86DD5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p w:rsidR="007F2791" w:rsidRDefault="007F2791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p w:rsidR="007F2791" w:rsidRPr="00EF20BA" w:rsidRDefault="007F2791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357" w:type="dxa"/>
        <w:tblInd w:w="51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000"/>
      </w:tblPr>
      <w:tblGrid>
        <w:gridCol w:w="554"/>
        <w:gridCol w:w="1875"/>
        <w:gridCol w:w="3795"/>
        <w:gridCol w:w="3133"/>
      </w:tblGrid>
      <w:tr w:rsidR="008026C3" w:rsidRPr="00EF20BA" w:rsidTr="00EF20BA">
        <w:tc>
          <w:tcPr>
            <w:tcW w:w="935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RISCO 02</w:t>
            </w:r>
          </w:p>
        </w:tc>
      </w:tr>
      <w:tr w:rsidR="008026C3" w:rsidRPr="00EF20BA" w:rsidTr="00EF20BA">
        <w:tc>
          <w:tcPr>
            <w:tcW w:w="242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Probabilidade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83CE0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X ) Baixa 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Média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Alta</w:t>
            </w:r>
          </w:p>
        </w:tc>
      </w:tr>
      <w:tr w:rsidR="008026C3" w:rsidRPr="00EF20BA" w:rsidTr="00EF20BA">
        <w:tc>
          <w:tcPr>
            <w:tcW w:w="242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Impacto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Baixa 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Média     ( X ) Alta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8803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Dano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803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Empresa sem condições financeiras para realizar a entrega dos materiais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Preventiva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CONTRATADA deverá possuir balanço patrimonial e d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monstrações contábeis do último exercício social co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provando índices de Liquidez Geral (LG), Liquidez Co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rente (LC) e Solvência Geral (SG) superiores a 1 (um)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Fiscalização do Contrato e D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visão de Obtenção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de Contingência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Aplicação de Notificações e Sanções Administrativas previstas em Lei e possibilidade de contratação de nova fornecedora de materiais.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Fiscalização do Contrato e O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denador de Despesas</w:t>
            </w:r>
          </w:p>
        </w:tc>
      </w:tr>
    </w:tbl>
    <w:p w:rsidR="008026C3" w:rsidRPr="00EF20BA" w:rsidRDefault="008026C3">
      <w:pPr>
        <w:pStyle w:val="Standard"/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327" w:type="dxa"/>
        <w:tblInd w:w="81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000"/>
      </w:tblPr>
      <w:tblGrid>
        <w:gridCol w:w="525"/>
        <w:gridCol w:w="1874"/>
        <w:gridCol w:w="3795"/>
        <w:gridCol w:w="3133"/>
      </w:tblGrid>
      <w:tr w:rsidR="008026C3" w:rsidRPr="00EF20BA" w:rsidTr="00EF20BA">
        <w:tc>
          <w:tcPr>
            <w:tcW w:w="932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RISCO 03</w:t>
            </w:r>
          </w:p>
        </w:tc>
      </w:tr>
      <w:tr w:rsidR="008026C3" w:rsidRPr="00EF20BA" w:rsidTr="00EF20BA">
        <w:tc>
          <w:tcPr>
            <w:tcW w:w="239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Probabilidade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14662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>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Baixa      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Média     ( 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Alta</w:t>
            </w:r>
          </w:p>
        </w:tc>
      </w:tr>
      <w:tr w:rsidR="008026C3" w:rsidRPr="00EF20BA" w:rsidTr="00EF20BA">
        <w:tc>
          <w:tcPr>
            <w:tcW w:w="239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Impacto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14662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 ) Baixa      (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Média     ( 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Alta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8802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Dano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802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Definição da demanda abaixo da necessidade real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6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Preventiva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6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Maior acompanhamento das demandas durante o pl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nejamento da contratação e de anos anteriores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Planejamento da Contratação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6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de Contingência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6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Realocação dos materiais de acordo com a prioridade das missões e correção das demandas para o próximo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planejamento da contratação.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Planejamento da Contratação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e Fiscalização do Contrato</w:t>
            </w:r>
          </w:p>
        </w:tc>
      </w:tr>
    </w:tbl>
    <w:p w:rsidR="008026C3" w:rsidRPr="00EF20BA" w:rsidRDefault="008026C3">
      <w:pPr>
        <w:pStyle w:val="Standard"/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140" w:type="dxa"/>
        <w:tblInd w:w="126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000"/>
      </w:tblPr>
      <w:tblGrid>
        <w:gridCol w:w="479"/>
        <w:gridCol w:w="1875"/>
        <w:gridCol w:w="3795"/>
        <w:gridCol w:w="2991"/>
      </w:tblGrid>
      <w:tr w:rsidR="008026C3" w:rsidRPr="00EF20BA" w:rsidTr="00323F42">
        <w:tc>
          <w:tcPr>
            <w:tcW w:w="9140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RISCO 04</w:t>
            </w:r>
          </w:p>
        </w:tc>
      </w:tr>
      <w:tr w:rsidR="008026C3" w:rsidRPr="00EF20BA" w:rsidTr="00323F42">
        <w:tc>
          <w:tcPr>
            <w:tcW w:w="235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Probabilidade</w:t>
            </w:r>
          </w:p>
        </w:tc>
        <w:tc>
          <w:tcPr>
            <w:tcW w:w="678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14662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>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Baixa      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Média     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Alta</w:t>
            </w:r>
          </w:p>
        </w:tc>
      </w:tr>
      <w:tr w:rsidR="008026C3" w:rsidRPr="00EF20BA" w:rsidTr="00323F42">
        <w:tc>
          <w:tcPr>
            <w:tcW w:w="235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Impacto</w:t>
            </w:r>
          </w:p>
        </w:tc>
        <w:tc>
          <w:tcPr>
            <w:tcW w:w="678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14662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Baixa      (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Média     ( 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Alta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8661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Dano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661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Empresa com dificuldades de manter-se regularizada fiscalmente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Preventiva</w:t>
            </w:r>
          </w:p>
        </w:tc>
        <w:tc>
          <w:tcPr>
            <w:tcW w:w="299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Exigência de documentação que comprove a regulariz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ção trabalhista e fiscal durante a fase de contratação e durante a execução do contrato periodicamente</w:t>
            </w:r>
          </w:p>
        </w:tc>
        <w:tc>
          <w:tcPr>
            <w:tcW w:w="299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Contrato e Fiscalização do Contrato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de Contingência</w:t>
            </w:r>
          </w:p>
        </w:tc>
        <w:tc>
          <w:tcPr>
            <w:tcW w:w="299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Aplicação de Notificações e Sanções Administrativas previstas em Lei e possibilidade de contratação de nova empresa para execução do fornecimento por completo.</w:t>
            </w:r>
          </w:p>
        </w:tc>
        <w:tc>
          <w:tcPr>
            <w:tcW w:w="299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Fiscalização do Contrato e Ordenador de Despesas</w:t>
            </w:r>
          </w:p>
        </w:tc>
      </w:tr>
    </w:tbl>
    <w:p w:rsidR="008026C3" w:rsidRPr="00EF20BA" w:rsidRDefault="008026C3" w:rsidP="00ED1B35">
      <w:pPr>
        <w:pStyle w:val="Standard"/>
        <w:spacing w:after="360"/>
        <w:jc w:val="center"/>
        <w:rPr>
          <w:rFonts w:asciiTheme="minorHAnsi" w:hAnsiTheme="minorHAnsi" w:cstheme="minorHAnsi"/>
          <w:sz w:val="24"/>
          <w:szCs w:val="24"/>
        </w:rPr>
      </w:pPr>
    </w:p>
    <w:p w:rsidR="00300E2F" w:rsidRPr="00EF20BA" w:rsidRDefault="00134497" w:rsidP="001469C9">
      <w:pPr>
        <w:pStyle w:val="Standard"/>
        <w:spacing w:after="360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EF20BA">
        <w:rPr>
          <w:rFonts w:asciiTheme="minorHAnsi" w:hAnsiTheme="minorHAnsi" w:cstheme="minorHAnsi"/>
          <w:sz w:val="24"/>
          <w:szCs w:val="24"/>
        </w:rPr>
        <w:t xml:space="preserve">Rio de Janeiro, RJ, em </w:t>
      </w:r>
      <w:r w:rsidR="001469C9" w:rsidRPr="00EF20BA">
        <w:rPr>
          <w:rFonts w:asciiTheme="minorHAnsi" w:hAnsiTheme="minorHAnsi" w:cstheme="minorHAnsi"/>
          <w:sz w:val="24"/>
          <w:szCs w:val="24"/>
        </w:rPr>
        <w:t xml:space="preserve">   </w:t>
      </w:r>
      <w:r w:rsidR="00EF20BA">
        <w:rPr>
          <w:rFonts w:asciiTheme="minorHAnsi" w:hAnsiTheme="minorHAnsi" w:cstheme="minorHAnsi"/>
          <w:sz w:val="24"/>
          <w:szCs w:val="24"/>
        </w:rPr>
        <w:t xml:space="preserve"> </w:t>
      </w:r>
      <w:r w:rsidR="001469C9" w:rsidRPr="00EF20BA">
        <w:rPr>
          <w:rFonts w:asciiTheme="minorHAnsi" w:hAnsiTheme="minorHAnsi" w:cstheme="minorHAnsi"/>
          <w:sz w:val="24"/>
          <w:szCs w:val="24"/>
        </w:rPr>
        <w:t xml:space="preserve">  </w:t>
      </w:r>
      <w:r w:rsidRPr="00EF20BA">
        <w:rPr>
          <w:rFonts w:asciiTheme="minorHAnsi" w:hAnsiTheme="minorHAnsi" w:cstheme="minorHAnsi"/>
          <w:sz w:val="24"/>
          <w:szCs w:val="24"/>
        </w:rPr>
        <w:t xml:space="preserve">de </w:t>
      </w:r>
      <w:r w:rsidR="001469C9" w:rsidRPr="00EF20BA">
        <w:rPr>
          <w:rFonts w:asciiTheme="minorHAnsi" w:hAnsiTheme="minorHAnsi" w:cstheme="minorHAnsi"/>
          <w:sz w:val="24"/>
          <w:szCs w:val="24"/>
        </w:rPr>
        <w:t xml:space="preserve"> </w:t>
      </w:r>
      <w:r w:rsidR="00EF20BA">
        <w:rPr>
          <w:rFonts w:asciiTheme="minorHAnsi" w:hAnsiTheme="minorHAnsi" w:cstheme="minorHAnsi"/>
          <w:sz w:val="24"/>
          <w:szCs w:val="24"/>
        </w:rPr>
        <w:t xml:space="preserve">  </w:t>
      </w:r>
      <w:r w:rsidR="001469C9" w:rsidRPr="00EF20BA">
        <w:rPr>
          <w:rFonts w:asciiTheme="minorHAnsi" w:hAnsiTheme="minorHAnsi" w:cstheme="minorHAnsi"/>
          <w:sz w:val="24"/>
          <w:szCs w:val="24"/>
        </w:rPr>
        <w:t xml:space="preserve">  </w:t>
      </w:r>
      <w:r w:rsidR="00EF20BA">
        <w:rPr>
          <w:rFonts w:asciiTheme="minorHAnsi" w:hAnsiTheme="minorHAnsi" w:cstheme="minorHAnsi"/>
          <w:sz w:val="24"/>
          <w:szCs w:val="24"/>
        </w:rPr>
        <w:t xml:space="preserve">   </w:t>
      </w:r>
      <w:r w:rsidR="001469C9" w:rsidRPr="00EF20BA">
        <w:rPr>
          <w:rFonts w:asciiTheme="minorHAnsi" w:hAnsiTheme="minorHAnsi" w:cstheme="minorHAnsi"/>
          <w:sz w:val="24"/>
          <w:szCs w:val="24"/>
        </w:rPr>
        <w:t xml:space="preserve">            </w:t>
      </w:r>
      <w:r w:rsidRPr="00EF20B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F20BA">
        <w:rPr>
          <w:rFonts w:asciiTheme="minorHAnsi" w:hAnsiTheme="minorHAnsi" w:cstheme="minorHAnsi"/>
          <w:sz w:val="24"/>
          <w:szCs w:val="24"/>
        </w:rPr>
        <w:t>de</w:t>
      </w:r>
      <w:proofErr w:type="spellEnd"/>
      <w:r w:rsidRPr="00EF20BA">
        <w:rPr>
          <w:rFonts w:asciiTheme="minorHAnsi" w:hAnsiTheme="minorHAnsi" w:cstheme="minorHAnsi"/>
          <w:sz w:val="24"/>
          <w:szCs w:val="24"/>
        </w:rPr>
        <w:t xml:space="preserve"> 20</w:t>
      </w:r>
      <w:r w:rsidR="0072602C" w:rsidRPr="00EF20BA">
        <w:rPr>
          <w:rFonts w:asciiTheme="minorHAnsi" w:hAnsiTheme="minorHAnsi" w:cstheme="minorHAnsi"/>
          <w:sz w:val="24"/>
          <w:szCs w:val="24"/>
        </w:rPr>
        <w:t>2</w:t>
      </w:r>
      <w:r w:rsidR="007F2791">
        <w:rPr>
          <w:rFonts w:asciiTheme="minorHAnsi" w:hAnsiTheme="minorHAnsi" w:cstheme="minorHAnsi"/>
          <w:sz w:val="24"/>
          <w:szCs w:val="24"/>
        </w:rPr>
        <w:t>2</w:t>
      </w:r>
      <w:r w:rsidRPr="00EF20BA">
        <w:rPr>
          <w:rFonts w:asciiTheme="minorHAnsi" w:hAnsiTheme="minorHAnsi" w:cstheme="minorHAnsi"/>
          <w:sz w:val="24"/>
          <w:szCs w:val="24"/>
        </w:rPr>
        <w:t>.</w:t>
      </w:r>
    </w:p>
    <w:p w:rsidR="00300E2F" w:rsidRPr="00EF20BA" w:rsidRDefault="00300E2F" w:rsidP="00134497">
      <w:pPr>
        <w:pStyle w:val="Standard"/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CF20FC" w:rsidRPr="00EF20BA" w:rsidRDefault="00CF20FC" w:rsidP="00134497">
      <w:pPr>
        <w:pStyle w:val="Standard"/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374FF6" w:rsidRDefault="00374FF6" w:rsidP="00374FF6">
      <w:pPr>
        <w:pStyle w:val="PargrafodaLista"/>
        <w:jc w:val="center"/>
        <w:rPr>
          <w:rFonts w:cstheme="minorHAnsi"/>
          <w:sz w:val="24"/>
        </w:rPr>
      </w:pPr>
      <w:r>
        <w:rPr>
          <w:rFonts w:cstheme="minorHAnsi"/>
          <w:sz w:val="24"/>
        </w:rPr>
        <w:t xml:space="preserve">MURILO DALVI PITOL </w:t>
      </w:r>
    </w:p>
    <w:p w:rsidR="00374FF6" w:rsidRDefault="00374FF6" w:rsidP="00374FF6">
      <w:pPr>
        <w:pStyle w:val="PargrafodaLista"/>
        <w:jc w:val="center"/>
        <w:rPr>
          <w:rFonts w:cstheme="minorHAnsi"/>
          <w:sz w:val="24"/>
        </w:rPr>
      </w:pPr>
      <w:r>
        <w:rPr>
          <w:rFonts w:cstheme="minorHAnsi"/>
          <w:sz w:val="24"/>
        </w:rPr>
        <w:t>Primeiro-Tenente (QC-CA)</w:t>
      </w:r>
    </w:p>
    <w:p w:rsidR="00374FF6" w:rsidRDefault="00374FF6" w:rsidP="00374FF6">
      <w:pPr>
        <w:pStyle w:val="PargrafodaLista"/>
        <w:jc w:val="center"/>
        <w:rPr>
          <w:rFonts w:cstheme="minorHAnsi"/>
          <w:sz w:val="24"/>
        </w:rPr>
      </w:pPr>
      <w:r>
        <w:rPr>
          <w:rFonts w:cstheme="minorHAnsi"/>
          <w:sz w:val="24"/>
        </w:rPr>
        <w:t>Encarregado da Divisão de Convés</w:t>
      </w:r>
    </w:p>
    <w:p w:rsidR="00374FF6" w:rsidRDefault="00374FF6" w:rsidP="00374FF6">
      <w:pPr>
        <w:pStyle w:val="PargrafodaLista"/>
        <w:jc w:val="center"/>
        <w:rPr>
          <w:rFonts w:cstheme="minorHAnsi"/>
          <w:sz w:val="24"/>
        </w:rPr>
      </w:pPr>
      <w:r>
        <w:rPr>
          <w:rFonts w:cstheme="minorHAnsi"/>
          <w:sz w:val="24"/>
        </w:rPr>
        <w:t>Navio de Apoio Oceânico “Purus”</w:t>
      </w:r>
    </w:p>
    <w:p w:rsidR="00134497" w:rsidRPr="00EF20BA" w:rsidRDefault="00134497" w:rsidP="00374FF6">
      <w:pPr>
        <w:pStyle w:val="NormalWeb"/>
        <w:ind w:right="-255"/>
        <w:jc w:val="center"/>
        <w:rPr>
          <w:rFonts w:asciiTheme="minorHAnsi" w:hAnsiTheme="minorHAnsi" w:cstheme="minorHAnsi"/>
          <w:highlight w:val="yellow"/>
        </w:rPr>
      </w:pPr>
    </w:p>
    <w:sectPr w:rsidR="00134497" w:rsidRPr="00EF20BA" w:rsidSect="00323F42">
      <w:headerReference w:type="default" r:id="rId7"/>
      <w:footerReference w:type="default" r:id="rId8"/>
      <w:footerReference w:type="first" r:id="rId9"/>
      <w:pgSz w:w="11906" w:h="16838"/>
      <w:pgMar w:top="1134" w:right="1134" w:bottom="1134" w:left="1701" w:header="720" w:footer="72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791" w:rsidRDefault="007F2791" w:rsidP="008026C3">
      <w:r>
        <w:separator/>
      </w:r>
    </w:p>
  </w:endnote>
  <w:endnote w:type="continuationSeparator" w:id="1">
    <w:p w:rsidR="007F2791" w:rsidRDefault="007F2791" w:rsidP="00802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, ''Century Gothic'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91" w:rsidRPr="0072602C" w:rsidRDefault="007F2791" w:rsidP="00C86DD5">
    <w:pPr>
      <w:pStyle w:val="Rodap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- </w:t>
    </w:r>
    <w:sdt>
      <w:sdtPr>
        <w:rPr>
          <w:rFonts w:ascii="Times New Roman" w:hAnsi="Times New Roman" w:cs="Times New Roman"/>
        </w:rPr>
        <w:id w:val="522197704"/>
        <w:docPartObj>
          <w:docPartGallery w:val="Page Numbers (Bottom of Page)"/>
          <w:docPartUnique/>
        </w:docPartObj>
      </w:sdtPr>
      <w:sdtContent>
        <w:r w:rsidR="00FA11EA" w:rsidRPr="0072602C">
          <w:rPr>
            <w:rFonts w:ascii="Times New Roman" w:hAnsi="Times New Roman" w:cs="Times New Roman"/>
          </w:rPr>
          <w:fldChar w:fldCharType="begin"/>
        </w:r>
        <w:r w:rsidRPr="0072602C">
          <w:rPr>
            <w:rFonts w:ascii="Times New Roman" w:hAnsi="Times New Roman" w:cs="Times New Roman"/>
          </w:rPr>
          <w:instrText>PAGE</w:instrText>
        </w:r>
        <w:r w:rsidR="00FA11EA" w:rsidRPr="0072602C">
          <w:rPr>
            <w:rFonts w:ascii="Times New Roman" w:hAnsi="Times New Roman" w:cs="Times New Roman"/>
          </w:rPr>
          <w:fldChar w:fldCharType="separate"/>
        </w:r>
        <w:r w:rsidR="00374FF6">
          <w:rPr>
            <w:rFonts w:ascii="Times New Roman" w:hAnsi="Times New Roman" w:cs="Times New Roman"/>
            <w:noProof/>
          </w:rPr>
          <w:t>3</w:t>
        </w:r>
        <w:r w:rsidR="00FA11EA" w:rsidRPr="0072602C"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  <w:t xml:space="preserve"> de </w:t>
        </w:r>
        <w:proofErr w:type="gramStart"/>
        <w:r w:rsidRPr="0072602C">
          <w:rPr>
            <w:rFonts w:ascii="Times New Roman" w:hAnsi="Times New Roman" w:cs="Times New Roman"/>
          </w:rPr>
          <w:t>3</w:t>
        </w:r>
        <w:proofErr w:type="gramEnd"/>
      </w:sdtContent>
    </w:sdt>
    <w:r>
      <w:rPr>
        <w:rFonts w:ascii="Times New Roman" w:hAnsi="Times New Roman" w:cs="Times New Roman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91" w:rsidRPr="0072602C" w:rsidRDefault="007F2791">
    <w:pPr>
      <w:pStyle w:val="Rodap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- 1 de </w:t>
    </w:r>
    <w:r w:rsidRPr="0072602C">
      <w:rPr>
        <w:rFonts w:ascii="Times New Roman" w:hAnsi="Times New Roman" w:cs="Times New Roman"/>
      </w:rPr>
      <w:t>3</w:t>
    </w:r>
    <w:r>
      <w:rPr>
        <w:rFonts w:ascii="Times New Roman" w:hAnsi="Times New Roman" w:cs="Times New Roman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791" w:rsidRDefault="007F2791" w:rsidP="008026C3">
      <w:r>
        <w:separator/>
      </w:r>
    </w:p>
  </w:footnote>
  <w:footnote w:type="continuationSeparator" w:id="1">
    <w:p w:rsidR="007F2791" w:rsidRDefault="007F2791" w:rsidP="008026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91" w:rsidRPr="0072602C" w:rsidRDefault="007F2791">
    <w:pPr>
      <w:pStyle w:val="Cabealho"/>
      <w:rPr>
        <w:rFonts w:ascii="Times New Roman" w:hAnsi="Times New Roman" w:cs="Times New Roman"/>
        <w:szCs w:val="24"/>
      </w:rPr>
    </w:pPr>
    <w:r w:rsidRPr="0072602C">
      <w:rPr>
        <w:rFonts w:ascii="Times New Roman" w:hAnsi="Times New Roman" w:cs="Times New Roman"/>
        <w:szCs w:val="24"/>
      </w:rPr>
      <w:t xml:space="preserve"> (Continuação do Mapa de Riscos, do Planejamento da Contratação</w:t>
    </w:r>
    <w:proofErr w:type="gramStart"/>
    <w:r w:rsidRPr="0072602C">
      <w:rPr>
        <w:rFonts w:ascii="Times New Roman" w:hAnsi="Times New Roman" w:cs="Times New Roman"/>
        <w:szCs w:val="24"/>
      </w:rPr>
      <w:t>................</w:t>
    </w:r>
    <w:r>
      <w:rPr>
        <w:rFonts w:ascii="Times New Roman" w:hAnsi="Times New Roman" w:cs="Times New Roman"/>
        <w:szCs w:val="24"/>
      </w:rPr>
      <w:t>...................</w:t>
    </w:r>
    <w:r w:rsidRPr="0072602C">
      <w:rPr>
        <w:rFonts w:ascii="Times New Roman" w:hAnsi="Times New Roman" w:cs="Times New Roman"/>
        <w:szCs w:val="24"/>
      </w:rPr>
      <w:t>........</w:t>
    </w:r>
    <w:proofErr w:type="gramEnd"/>
    <w:r w:rsidRPr="0072602C">
      <w:rPr>
        <w:rFonts w:ascii="Times New Roman" w:hAnsi="Times New Roman" w:cs="Times New Roman"/>
        <w:szCs w:val="24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026C3"/>
    <w:rsid w:val="00002E51"/>
    <w:rsid w:val="000D798D"/>
    <w:rsid w:val="00134497"/>
    <w:rsid w:val="001469C9"/>
    <w:rsid w:val="00192CA8"/>
    <w:rsid w:val="002D5D7E"/>
    <w:rsid w:val="00300E2F"/>
    <w:rsid w:val="00323F42"/>
    <w:rsid w:val="00374FF6"/>
    <w:rsid w:val="0051586A"/>
    <w:rsid w:val="00552823"/>
    <w:rsid w:val="005D58B9"/>
    <w:rsid w:val="00625EE7"/>
    <w:rsid w:val="0072602C"/>
    <w:rsid w:val="00773BCA"/>
    <w:rsid w:val="007F2791"/>
    <w:rsid w:val="008026C3"/>
    <w:rsid w:val="00A544DA"/>
    <w:rsid w:val="00C02DE1"/>
    <w:rsid w:val="00C86DD5"/>
    <w:rsid w:val="00CB214E"/>
    <w:rsid w:val="00CF20FC"/>
    <w:rsid w:val="00CF560F"/>
    <w:rsid w:val="00E86EC7"/>
    <w:rsid w:val="00ED1B35"/>
    <w:rsid w:val="00EF20BA"/>
    <w:rsid w:val="00F14662"/>
    <w:rsid w:val="00F83CE0"/>
    <w:rsid w:val="00FA1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 w:val="24"/>
        <w:szCs w:val="24"/>
        <w:lang w:val="pt-BR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12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stLabel13">
    <w:name w:val="ListLabel 13"/>
    <w:qFormat/>
    <w:rsid w:val="00502327"/>
    <w:rPr>
      <w:i w:val="0"/>
      <w:color w:val="00000A"/>
    </w:rPr>
  </w:style>
  <w:style w:type="character" w:customStyle="1" w:styleId="ListLabel14">
    <w:name w:val="ListLabel 14"/>
    <w:qFormat/>
    <w:rsid w:val="00502327"/>
    <w:rPr>
      <w:strike w:val="0"/>
      <w:dstrike w:val="0"/>
    </w:rPr>
  </w:style>
  <w:style w:type="character" w:customStyle="1" w:styleId="ListLabel15">
    <w:name w:val="ListLabel 15"/>
    <w:qFormat/>
    <w:rsid w:val="00502327"/>
    <w:rPr>
      <w:b w:val="0"/>
      <w:bCs w:val="0"/>
      <w:i w:val="0"/>
      <w:strike w:val="0"/>
      <w:dstrike w:val="0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027447"/>
    <w:rPr>
      <w:szCs w:val="21"/>
    </w:rPr>
  </w:style>
  <w:style w:type="character" w:customStyle="1" w:styleId="RodapChar">
    <w:name w:val="Rodapé Char"/>
    <w:basedOn w:val="Fontepargpadro"/>
    <w:link w:val="Rodap"/>
    <w:uiPriority w:val="99"/>
    <w:qFormat/>
    <w:rsid w:val="00027447"/>
    <w:rPr>
      <w:szCs w:val="21"/>
    </w:rPr>
  </w:style>
  <w:style w:type="paragraph" w:customStyle="1" w:styleId="Ttulo1">
    <w:name w:val="Título1"/>
    <w:basedOn w:val="Standard"/>
    <w:next w:val="Corpodetexto"/>
    <w:qFormat/>
    <w:rsid w:val="0050232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rsid w:val="008026C3"/>
    <w:pPr>
      <w:spacing w:after="140" w:line="288" w:lineRule="auto"/>
    </w:pPr>
  </w:style>
  <w:style w:type="paragraph" w:styleId="Lista">
    <w:name w:val="List"/>
    <w:basedOn w:val="Textbody"/>
    <w:rsid w:val="00502327"/>
  </w:style>
  <w:style w:type="paragraph" w:customStyle="1" w:styleId="Legenda1">
    <w:name w:val="Legenda1"/>
    <w:basedOn w:val="Standard"/>
    <w:rsid w:val="00502327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Standard"/>
    <w:qFormat/>
    <w:rsid w:val="00502327"/>
    <w:pPr>
      <w:suppressLineNumbers/>
    </w:pPr>
  </w:style>
  <w:style w:type="paragraph" w:customStyle="1" w:styleId="Standard">
    <w:name w:val="Standard"/>
    <w:qFormat/>
    <w:rsid w:val="00502327"/>
    <w:pPr>
      <w:spacing w:after="200" w:line="276" w:lineRule="auto"/>
    </w:pPr>
    <w:rPr>
      <w:rFonts w:ascii="Calibri, ''Century Gothic''" w:eastAsia="Calibri, ''Century Gothic''" w:hAnsi="Calibri, ''Century Gothic''" w:cs="Calibri, ''Century Gothic''"/>
      <w:sz w:val="22"/>
      <w:szCs w:val="22"/>
      <w:lang w:bidi="ar-SA"/>
    </w:rPr>
  </w:style>
  <w:style w:type="paragraph" w:customStyle="1" w:styleId="Textbody">
    <w:name w:val="Text body"/>
    <w:basedOn w:val="Standard"/>
    <w:qFormat/>
    <w:rsid w:val="00502327"/>
    <w:pPr>
      <w:spacing w:after="140" w:line="288" w:lineRule="auto"/>
    </w:pPr>
  </w:style>
  <w:style w:type="paragraph" w:customStyle="1" w:styleId="Contedodatabela">
    <w:name w:val="Conteúdo da tabela"/>
    <w:basedOn w:val="Standard"/>
    <w:qFormat/>
    <w:rsid w:val="00502327"/>
  </w:style>
  <w:style w:type="paragraph" w:styleId="Cabealho">
    <w:name w:val="header"/>
    <w:basedOn w:val="Normal"/>
    <w:link w:val="CabealhoChar"/>
    <w:uiPriority w:val="99"/>
    <w:unhideWhenUsed/>
    <w:rsid w:val="00027447"/>
    <w:pPr>
      <w:tabs>
        <w:tab w:val="center" w:pos="4252"/>
        <w:tab w:val="right" w:pos="8504"/>
      </w:tabs>
    </w:pPr>
    <w:rPr>
      <w:szCs w:val="21"/>
    </w:rPr>
  </w:style>
  <w:style w:type="paragraph" w:styleId="Rodap">
    <w:name w:val="footer"/>
    <w:basedOn w:val="Normal"/>
    <w:link w:val="RodapChar"/>
    <w:uiPriority w:val="99"/>
    <w:unhideWhenUsed/>
    <w:rsid w:val="00027447"/>
    <w:pPr>
      <w:tabs>
        <w:tab w:val="center" w:pos="4252"/>
        <w:tab w:val="right" w:pos="8504"/>
      </w:tabs>
    </w:pPr>
    <w:rPr>
      <w:szCs w:val="21"/>
    </w:rPr>
  </w:style>
  <w:style w:type="paragraph" w:styleId="PargrafodaLista">
    <w:name w:val="List Paragraph"/>
    <w:basedOn w:val="Normal"/>
    <w:uiPriority w:val="34"/>
    <w:qFormat/>
    <w:rsid w:val="00CF20FC"/>
    <w:pPr>
      <w:spacing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eastAsia="pt-BR" w:bidi="ar-SA"/>
    </w:rPr>
  </w:style>
  <w:style w:type="paragraph" w:styleId="NormalWeb">
    <w:name w:val="Normal (Web)"/>
    <w:basedOn w:val="Normal"/>
    <w:uiPriority w:val="99"/>
    <w:unhideWhenUsed/>
    <w:rsid w:val="007F2791"/>
    <w:pPr>
      <w:spacing w:before="100" w:beforeAutospacing="1"/>
      <w:jc w:val="both"/>
      <w:textAlignment w:val="auto"/>
    </w:pPr>
    <w:rPr>
      <w:rFonts w:ascii="Times New Roman" w:eastAsia="Times New Roman" w:hAnsi="Times New Roman" w:cs="Times New Roman"/>
      <w:color w:val="000000"/>
      <w:lang w:eastAsia="pt-B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2987D-EE9A-4E33-AFC2-96DF8A3C1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456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Sousa</dc:creator>
  <cp:lastModifiedBy>11012251</cp:lastModifiedBy>
  <cp:revision>29</cp:revision>
  <cp:lastPrinted>2022-04-05T09:36:00Z</cp:lastPrinted>
  <dcterms:created xsi:type="dcterms:W3CDTF">2018-07-16T17:34:00Z</dcterms:created>
  <dcterms:modified xsi:type="dcterms:W3CDTF">2022-05-23T13:35:00Z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